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附件4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创新型中小企业评价标准</w:t>
      </w:r>
    </w:p>
    <w:bookmarkEnd w:id="0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both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一、公告条件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评价得分达到 60 分以上（其中创新能力指标得分不低于 20 分、成长性指标及专业化指标得分均不低于 15 分），或满足下列条件之一：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（一）近三年内获得过国家级、省级科技奖励。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（二）获得高新技术企业、国家级技术创新示范企业、知识产权优势企业和知识产权示范企业等荣誉（均为有效期内）。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（三）拥有经认定的省部级以上研发机构。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（四）近三年内新增股权融资总额（合格机构投资者的实缴额）500万元以上。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二、评价指标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包括创新能力、成长性、专业化三类六个指标，评价结果依分值计算，满分为 100 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（一）创新能力指标（满分40分）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1.与企业主导产品相关的有效知识产权数量（满分20分）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A. Ⅰ类高价值知识产权1项以上（20分）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B. 自主研发的Ⅰ类知识产权1项以上（15分）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C. Ⅰ类知识产权1项以上（10分）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D. Ⅱ类知识产权1项以上（5分）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E. 无（0分）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2.上年度研发费用总额占营业收入总额比重（满分20分）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A. 5%以上（20分）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B. 3%-5%（15分）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C. 2%-3%（10分）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D. 1%-2%（5分）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E. 1%以下（0分）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（二）成长性指标（满分30分）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3.上年度主营业务收入增长率（满分20分）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A. 15%以上（20分）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B. 10%-15%（15分）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C. 5%-10%（10分）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D. 0%-5%（5分）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E. 0%以下（0分）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4.上年度资产负债率（满分10分）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A. 55%以下（10分）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B. 55%-75%（5分）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D. 75%以上（0分）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（三）专业化指标（满分30分）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5.主导产品所属领域情况（满分10分）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A.属于《战略性新兴产业分类》（10分）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B.属于其他领域（5分）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6.上年度主营业务收入总额占营业收入总额比重（满分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20分）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A. 70%以上（20分）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B. 60%-70%（15分）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C. 55%-60%（10分）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D. 50%-55%（5分）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E. 50%以下（0分）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gzYWE4NDJhZmQ0NDNhMmNiY2Y3OTkzODc5NGZlYjAifQ=="/>
  </w:docVars>
  <w:rsids>
    <w:rsidRoot w:val="175E5B3A"/>
    <w:rsid w:val="175E5B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2022-11-10T07:53:00Z</dcterms:created>
  <dc:creator>MAC</dc:creator>
  <cp:lastModifiedBy>MAC</cp:lastModifiedBy>
  <dcterms:modified xsi:type="dcterms:W3CDTF">2022-11-10T07:54:09Z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8D58C83DDF1843B89AF3850C7E246C4C</vt:lpwstr>
  </property>
</Properties>
</file>